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1D3A" w14:textId="77777777" w:rsidR="00DE584C" w:rsidRPr="005C2BFA" w:rsidRDefault="00DE584C" w:rsidP="00203077">
      <w:pPr>
        <w:spacing w:line="360" w:lineRule="auto"/>
        <w:rPr>
          <w:rFonts w:ascii="Verdana" w:hAnsi="Verdana"/>
          <w:b/>
          <w:lang w:val="en-US"/>
        </w:rPr>
      </w:pPr>
    </w:p>
    <w:p w14:paraId="67060D44" w14:textId="43613858" w:rsidR="00DE584C" w:rsidRPr="005C2BFA" w:rsidRDefault="00DE584C" w:rsidP="00DE584C">
      <w:pPr>
        <w:spacing w:line="360" w:lineRule="auto"/>
        <w:jc w:val="center"/>
        <w:rPr>
          <w:rFonts w:ascii="Verdana" w:hAnsi="Verdana"/>
          <w:b/>
          <w:lang w:val="en-US"/>
        </w:rPr>
      </w:pPr>
      <w:r w:rsidRPr="005C2BFA">
        <w:rPr>
          <w:rFonts w:ascii="Verdana" w:hAnsi="Verdana"/>
          <w:b/>
          <w:bCs/>
          <w:lang w:val="en-US"/>
        </w:rPr>
        <w:t>Surety Agreement (“Agreement”)</w:t>
      </w:r>
    </w:p>
    <w:p w14:paraId="6E37D7FF" w14:textId="2BF2ECF0" w:rsidR="00DE584C" w:rsidRPr="005C2BFA" w:rsidRDefault="00DE584C" w:rsidP="00DE584C">
      <w:pPr>
        <w:spacing w:before="120" w:after="120" w:line="360" w:lineRule="auto"/>
        <w:jc w:val="both"/>
        <w:rPr>
          <w:rFonts w:ascii="Verdana" w:hAnsi="Verdana"/>
          <w:lang w:val="en-US"/>
        </w:rPr>
      </w:pPr>
      <w:r w:rsidRPr="005C2BFA">
        <w:rPr>
          <w:rFonts w:ascii="Verdana" w:hAnsi="Verdana"/>
          <w:lang w:val="en-US"/>
        </w:rPr>
        <w:t>entered into in Warsaw on ...................................... by and between:</w:t>
      </w:r>
    </w:p>
    <w:p w14:paraId="362D73C4"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taxpayer identification no. NIP 5252441634, statistical no. 141660448, represented by:</w:t>
      </w:r>
      <w:bookmarkStart w:id="0" w:name="_Hlk55383046"/>
      <w:bookmarkEnd w:id="0"/>
    </w:p>
    <w:p w14:paraId="08BF012B"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w:t>
      </w:r>
    </w:p>
    <w:p w14:paraId="229C95BB"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w:t>
      </w:r>
    </w:p>
    <w:p w14:paraId="6C28E8DE"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hereinafter referred to as “IRGiT” or the “Clearing House”</w:t>
      </w:r>
    </w:p>
    <w:p w14:paraId="787A86DA"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and</w:t>
      </w:r>
    </w:p>
    <w:p w14:paraId="0F94634B" w14:textId="77777777" w:rsidR="003D13AA" w:rsidRPr="005C2BFA" w:rsidRDefault="003D13AA" w:rsidP="003D13AA">
      <w:pPr>
        <w:spacing w:before="120" w:after="120" w:line="360" w:lineRule="auto"/>
        <w:jc w:val="both"/>
        <w:rPr>
          <w:rFonts w:ascii="Verdana" w:hAnsi="Verdana"/>
          <w:snapToGrid w:val="0"/>
          <w:lang w:val="en-US"/>
        </w:rPr>
      </w:pPr>
      <w:bookmarkStart w:id="1" w:name="_Hlk26430661"/>
      <w:r w:rsidRPr="005C2BFA">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bookmarkStart w:id="2" w:name="_Hlk55382907"/>
      <w:bookmarkStart w:id="3" w:name="_Hlk55383157"/>
      <w:bookmarkStart w:id="4" w:name="_Hlk55383100"/>
      <w:bookmarkStart w:id="5" w:name="_Hlk55382980"/>
      <w:bookmarkStart w:id="6" w:name="_Hlk55370518"/>
      <w:bookmarkEnd w:id="2"/>
      <w:bookmarkEnd w:id="3"/>
      <w:bookmarkEnd w:id="4"/>
    </w:p>
    <w:bookmarkEnd w:id="5"/>
    <w:p w14:paraId="4AB1DEBB"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w:t>
      </w:r>
    </w:p>
    <w:p w14:paraId="24BA8566"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w:t>
      </w:r>
    </w:p>
    <w:bookmarkEnd w:id="1"/>
    <w:bookmarkEnd w:id="6"/>
    <w:p w14:paraId="229C6F40" w14:textId="7BE0BA09"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hereinafter referred to as the “Guarantor”</w:t>
      </w:r>
    </w:p>
    <w:p w14:paraId="6664B1E1"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 xml:space="preserve">and </w:t>
      </w:r>
    </w:p>
    <w:p w14:paraId="4008F774"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p>
    <w:p w14:paraId="3309FA81"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w:t>
      </w:r>
    </w:p>
    <w:p w14:paraId="20DBE6C8" w14:textId="77777777"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w:t>
      </w:r>
    </w:p>
    <w:p w14:paraId="2F3137D0" w14:textId="6C8B97B4" w:rsidR="003D13AA" w:rsidRPr="005C2BFA" w:rsidRDefault="003D13AA" w:rsidP="003D13AA">
      <w:pPr>
        <w:spacing w:before="120" w:after="120" w:line="360" w:lineRule="auto"/>
        <w:jc w:val="both"/>
        <w:rPr>
          <w:rFonts w:ascii="Verdana" w:hAnsi="Verdana"/>
          <w:snapToGrid w:val="0"/>
          <w:lang w:val="en-US"/>
        </w:rPr>
      </w:pPr>
      <w:r w:rsidRPr="005C2BFA">
        <w:rPr>
          <w:rFonts w:ascii="Verdana" w:hAnsi="Verdana"/>
          <w:snapToGrid w:val="0"/>
          <w:lang w:val="en-US"/>
        </w:rPr>
        <w:t>hereinafter referred to as the “Clearing House Member”</w:t>
      </w:r>
    </w:p>
    <w:p w14:paraId="415EA90A" w14:textId="77777777" w:rsidR="006D636C" w:rsidRPr="005C2BFA" w:rsidRDefault="006D636C" w:rsidP="005C3033">
      <w:pPr>
        <w:spacing w:before="120" w:after="120" w:line="360" w:lineRule="auto"/>
        <w:jc w:val="both"/>
        <w:rPr>
          <w:rFonts w:ascii="Verdana" w:hAnsi="Verdana"/>
          <w:lang w:val="en-US"/>
        </w:rPr>
      </w:pPr>
    </w:p>
    <w:p w14:paraId="1E1E70B7" w14:textId="549BE801" w:rsidR="00932387" w:rsidRPr="005C2BFA" w:rsidRDefault="006D636C" w:rsidP="005C3033">
      <w:pPr>
        <w:spacing w:before="120" w:after="120" w:line="360" w:lineRule="auto"/>
        <w:jc w:val="both"/>
        <w:rPr>
          <w:rFonts w:ascii="Verdana" w:hAnsi="Verdana"/>
          <w:lang w:val="en-US"/>
        </w:rPr>
      </w:pPr>
      <w:r w:rsidRPr="005C2BFA">
        <w:rPr>
          <w:rFonts w:ascii="Verdana" w:hAnsi="Verdana"/>
          <w:lang w:val="en-US"/>
        </w:rPr>
        <w:lastRenderedPageBreak/>
        <w:t>IRGiT, the Guarantor and the Clearing House Member shall hereinafter be jointly referred to as the Parties, and each separately as a Party.</w:t>
      </w:r>
    </w:p>
    <w:p w14:paraId="17955BE0" w14:textId="5510421C"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 xml:space="preserve">Whereas: </w:t>
      </w:r>
    </w:p>
    <w:p w14:paraId="57F26EF9" w14:textId="04BCD4D0"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(i)</w:t>
      </w:r>
      <w:r w:rsidRPr="005C2BFA">
        <w:rPr>
          <w:rFonts w:ascii="Verdana" w:hAnsi="Verdana"/>
          <w:lang w:val="en-US"/>
        </w:rPr>
        <w:tab/>
        <w:t>IRGiT runs an exchange clearing house (“Clearing House”), of which the Clearing House Member is a member;</w:t>
      </w:r>
    </w:p>
    <w:p w14:paraId="0C381176" w14:textId="1F7D2AE0"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(ii)</w:t>
      </w:r>
      <w:r w:rsidRPr="005C2BFA">
        <w:rPr>
          <w:rFonts w:ascii="Verdana" w:hAnsi="Verdana"/>
          <w:lang w:val="en-US"/>
        </w:rPr>
        <w:tab/>
        <w:t>The Clearing House Member, acting at the request of the Guarantor, executes on its behalf transactions on the markets operated by Towarowa Giełda Energii S.A. (Polish Power Exchange), which are then cleared by IRGiT;</w:t>
      </w:r>
    </w:p>
    <w:p w14:paraId="5E029842" w14:textId="78D250AC"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(iii)</w:t>
      </w:r>
      <w:r w:rsidRPr="005C2BFA">
        <w:rPr>
          <w:rFonts w:ascii="Verdana" w:hAnsi="Verdana"/>
          <w:lang w:val="en-US"/>
        </w:rPr>
        <w:tab/>
        <w:t xml:space="preserve">In accordance with the Regulations of the Exchange Clearing House (Commodity Market) (“ECH Regulations”), Clearing House members are required to establish collateral for the transactions they execute and to participate in the clearing guarantee system (“System”); </w:t>
      </w:r>
    </w:p>
    <w:p w14:paraId="24980541" w14:textId="0A1BD375"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(iv)</w:t>
      </w:r>
      <w:r w:rsidRPr="005C2BFA">
        <w:rPr>
          <w:rFonts w:ascii="Verdana" w:hAnsi="Verdana"/>
          <w:lang w:val="en-US"/>
        </w:rPr>
        <w:tab/>
        <w:t>The System consists of:</w:t>
      </w:r>
    </w:p>
    <w:p w14:paraId="770E49F4" w14:textId="77777777" w:rsidR="005C3033" w:rsidRPr="005C2BFA" w:rsidRDefault="005C3033" w:rsidP="006D5418">
      <w:pPr>
        <w:spacing w:before="120" w:after="120" w:line="360" w:lineRule="auto"/>
        <w:ind w:left="567"/>
        <w:jc w:val="both"/>
        <w:rPr>
          <w:rFonts w:ascii="Verdana" w:hAnsi="Verdana"/>
          <w:lang w:val="en-US"/>
        </w:rPr>
      </w:pPr>
      <w:r w:rsidRPr="005C2BFA">
        <w:rPr>
          <w:rFonts w:ascii="Verdana" w:hAnsi="Verdana"/>
          <w:lang w:val="en-US"/>
        </w:rPr>
        <w:t>(a)</w:t>
      </w:r>
      <w:r w:rsidRPr="005C2BFA">
        <w:rPr>
          <w:rFonts w:ascii="Verdana" w:hAnsi="Verdana"/>
          <w:lang w:val="en-US"/>
        </w:rPr>
        <w:tab/>
        <w:t xml:space="preserve">transaction margins, </w:t>
      </w:r>
    </w:p>
    <w:p w14:paraId="7A381072" w14:textId="77777777" w:rsidR="005C3033" w:rsidRPr="005C2BFA" w:rsidRDefault="005C3033" w:rsidP="006D5418">
      <w:pPr>
        <w:spacing w:before="120" w:after="120" w:line="360" w:lineRule="auto"/>
        <w:ind w:left="567"/>
        <w:jc w:val="both"/>
        <w:rPr>
          <w:rFonts w:ascii="Verdana" w:hAnsi="Verdana"/>
          <w:lang w:val="en-US"/>
        </w:rPr>
      </w:pPr>
      <w:r w:rsidRPr="005C2BFA">
        <w:rPr>
          <w:rFonts w:ascii="Verdana" w:hAnsi="Verdana"/>
          <w:lang w:val="en-US"/>
        </w:rPr>
        <w:t>(b)</w:t>
      </w:r>
      <w:r w:rsidRPr="005C2BFA">
        <w:rPr>
          <w:rFonts w:ascii="Verdana" w:hAnsi="Verdana"/>
          <w:lang w:val="en-US"/>
        </w:rPr>
        <w:tab/>
        <w:t>collateral margins,</w:t>
      </w:r>
    </w:p>
    <w:p w14:paraId="53DBDA87" w14:textId="77777777" w:rsidR="005C3033" w:rsidRPr="005C2BFA" w:rsidRDefault="005C3033" w:rsidP="006D5418">
      <w:pPr>
        <w:spacing w:before="120" w:after="120" w:line="360" w:lineRule="auto"/>
        <w:ind w:left="567"/>
        <w:jc w:val="both"/>
        <w:rPr>
          <w:rFonts w:ascii="Verdana" w:hAnsi="Verdana"/>
          <w:lang w:val="en-US"/>
        </w:rPr>
      </w:pPr>
      <w:r w:rsidRPr="005C2BFA">
        <w:rPr>
          <w:rFonts w:ascii="Verdana" w:hAnsi="Verdana"/>
          <w:lang w:val="en-US"/>
        </w:rPr>
        <w:t>(c)</w:t>
      </w:r>
      <w:r w:rsidRPr="005C2BFA">
        <w:rPr>
          <w:rFonts w:ascii="Verdana" w:hAnsi="Verdana"/>
          <w:lang w:val="en-US"/>
        </w:rPr>
        <w:tab/>
        <w:t>guarantee funds,</w:t>
      </w:r>
    </w:p>
    <w:p w14:paraId="345B4349" w14:textId="77777777" w:rsidR="005C3033" w:rsidRPr="005C2BFA" w:rsidRDefault="005C3033" w:rsidP="006D5418">
      <w:pPr>
        <w:spacing w:before="120" w:after="120" w:line="360" w:lineRule="auto"/>
        <w:ind w:left="567"/>
        <w:jc w:val="both"/>
        <w:rPr>
          <w:rFonts w:ascii="Verdana" w:hAnsi="Verdana"/>
          <w:lang w:val="en-US"/>
        </w:rPr>
      </w:pPr>
      <w:r w:rsidRPr="005C2BFA">
        <w:rPr>
          <w:rFonts w:ascii="Verdana" w:hAnsi="Verdana"/>
          <w:lang w:val="en-US"/>
        </w:rPr>
        <w:t>(d)</w:t>
      </w:r>
      <w:r w:rsidRPr="005C2BFA">
        <w:rPr>
          <w:rFonts w:ascii="Verdana" w:hAnsi="Verdana"/>
          <w:lang w:val="en-US"/>
        </w:rPr>
        <w:tab/>
        <w:t>margin monitoring system;</w:t>
      </w:r>
    </w:p>
    <w:p w14:paraId="2C3123FC" w14:textId="376DC681"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(v)</w:t>
      </w:r>
      <w:r w:rsidRPr="005C2BFA">
        <w:rPr>
          <w:rFonts w:ascii="Verdana" w:hAnsi="Verdana"/>
          <w:lang w:val="en-US"/>
        </w:rPr>
        <w:tab/>
        <w:t>The IRGiT Management Board accepts the collateral contained in this Agreement as security provided by the Clearing House Member in non-cash form for the collateral margins listed in (b) on the terms specified in the Detailed Clearing and Settlement Rules within the meaning of the ECH Regulations (“Detailed Clearing and Settlement Rules”);</w:t>
      </w:r>
    </w:p>
    <w:p w14:paraId="743E3390" w14:textId="09650B9F" w:rsidR="005C3033" w:rsidRPr="005C2BFA" w:rsidRDefault="005C3033" w:rsidP="005C3033">
      <w:pPr>
        <w:spacing w:before="120" w:after="120" w:line="360" w:lineRule="auto"/>
        <w:jc w:val="both"/>
        <w:rPr>
          <w:rFonts w:ascii="Verdana" w:hAnsi="Verdana"/>
          <w:lang w:val="en-US"/>
        </w:rPr>
      </w:pPr>
      <w:r w:rsidRPr="005C2BFA">
        <w:rPr>
          <w:rFonts w:ascii="Verdana" w:hAnsi="Verdana"/>
          <w:lang w:val="en-US"/>
        </w:rPr>
        <w:t>(vi)</w:t>
      </w:r>
      <w:r w:rsidRPr="005C2BFA">
        <w:rPr>
          <w:rFonts w:ascii="Verdana" w:hAnsi="Verdana"/>
          <w:lang w:val="en-US"/>
        </w:rPr>
        <w:tab/>
        <w:t>The Guarantor is familiar with and accepts the terms and conditions of membership in the Clearing House operated by IRGiT, in particular the content of the ECH Regulations;</w:t>
      </w:r>
    </w:p>
    <w:p w14:paraId="58704F2E" w14:textId="77777777" w:rsidR="00A62609" w:rsidRPr="005C2BFA" w:rsidRDefault="00A62609" w:rsidP="005C3033">
      <w:pPr>
        <w:spacing w:before="120" w:after="120" w:line="360" w:lineRule="auto"/>
        <w:jc w:val="both"/>
        <w:rPr>
          <w:rFonts w:ascii="Verdana" w:hAnsi="Verdana"/>
          <w:lang w:val="en-US"/>
        </w:rPr>
      </w:pPr>
    </w:p>
    <w:p w14:paraId="6B5398B5" w14:textId="7F82CFF1" w:rsidR="00A62609" w:rsidRPr="005C2BFA" w:rsidRDefault="00A62609" w:rsidP="005C3033">
      <w:pPr>
        <w:spacing w:before="120" w:after="120" w:line="360" w:lineRule="auto"/>
        <w:jc w:val="both"/>
        <w:rPr>
          <w:rFonts w:ascii="Verdana" w:hAnsi="Verdana"/>
          <w:lang w:val="en-US"/>
        </w:rPr>
      </w:pPr>
      <w:r w:rsidRPr="005C2BFA">
        <w:rPr>
          <w:rFonts w:ascii="Verdana" w:hAnsi="Verdana"/>
          <w:lang w:val="en-US"/>
        </w:rPr>
        <w:t>The Parties have resolved as follows:</w:t>
      </w:r>
    </w:p>
    <w:p w14:paraId="6A7FBFE0" w14:textId="56A28847" w:rsidR="00A62609" w:rsidRPr="005C2BFA" w:rsidRDefault="00A62609" w:rsidP="00A62609">
      <w:pPr>
        <w:spacing w:before="120" w:after="120" w:line="360" w:lineRule="auto"/>
        <w:jc w:val="both"/>
        <w:rPr>
          <w:rFonts w:ascii="Verdana" w:hAnsi="Verdana"/>
          <w:lang w:val="en-US"/>
        </w:rPr>
        <w:sectPr w:rsidR="00A62609" w:rsidRPr="005C2BFA" w:rsidSect="00397BF5">
          <w:headerReference w:type="default" r:id="rId7"/>
          <w:pgSz w:w="11906" w:h="16838"/>
          <w:pgMar w:top="1417" w:right="1417" w:bottom="1417" w:left="1417" w:header="708" w:footer="708" w:gutter="0"/>
          <w:cols w:space="708"/>
        </w:sectPr>
      </w:pPr>
      <w:r w:rsidRPr="005C2BFA">
        <w:rPr>
          <w:rFonts w:ascii="Verdana" w:hAnsi="Verdana"/>
          <w:lang w:val="en-US"/>
        </w:rPr>
        <w:t>unless defined otherwise in the Agreement, all capitalized terms have the meanings ascribed to them in the ECH Regulations.</w:t>
      </w:r>
    </w:p>
    <w:p w14:paraId="5C227B4E" w14:textId="77777777" w:rsidR="00A62609" w:rsidRPr="005C2BFA" w:rsidRDefault="00A62609" w:rsidP="005C3033">
      <w:pPr>
        <w:spacing w:before="120" w:after="120" w:line="360" w:lineRule="auto"/>
        <w:jc w:val="both"/>
        <w:rPr>
          <w:rFonts w:ascii="Verdana" w:hAnsi="Verdana"/>
          <w:lang w:val="en-US"/>
        </w:rPr>
      </w:pPr>
    </w:p>
    <w:p w14:paraId="615111F2" w14:textId="77777777" w:rsidR="00465401" w:rsidRPr="005C2BFA" w:rsidRDefault="00465401" w:rsidP="00DF7FB4">
      <w:pPr>
        <w:spacing w:before="120" w:after="120" w:line="360" w:lineRule="auto"/>
        <w:jc w:val="center"/>
        <w:rPr>
          <w:rFonts w:ascii="Verdana" w:hAnsi="Verdana"/>
          <w:b/>
          <w:lang w:val="en-US"/>
        </w:rPr>
      </w:pPr>
      <w:r w:rsidRPr="005C2BFA">
        <w:rPr>
          <w:rFonts w:ascii="Verdana" w:hAnsi="Verdana"/>
          <w:b/>
          <w:bCs/>
          <w:lang w:val="en-US"/>
        </w:rPr>
        <w:t>§ 1</w:t>
      </w:r>
    </w:p>
    <w:p w14:paraId="432649C7" w14:textId="7B45F725" w:rsidR="00DE584C" w:rsidRPr="005C2BFA" w:rsidRDefault="00465401" w:rsidP="00884BDE">
      <w:pPr>
        <w:spacing w:before="120" w:after="120" w:line="360" w:lineRule="auto"/>
        <w:jc w:val="both"/>
        <w:rPr>
          <w:rFonts w:ascii="Verdana" w:hAnsi="Verdana"/>
          <w:lang w:val="en-US"/>
        </w:rPr>
      </w:pPr>
      <w:r w:rsidRPr="005C2BFA">
        <w:rPr>
          <w:rFonts w:ascii="Verdana" w:hAnsi="Verdana"/>
          <w:lang w:val="en-US"/>
        </w:rPr>
        <w:t>The subject matter of this Agreement is an unconditional and irrevocable surety by the Guarantor for all liabilities incurred by the Clearing House Member in connection with IRGiT’s clearing of transactions executed by the Clearing House Member at the Guarantor’s request or as a result thereof.</w:t>
      </w:r>
      <w:bookmarkStart w:id="7" w:name="_Hlk33437943"/>
      <w:bookmarkEnd w:id="7"/>
    </w:p>
    <w:p w14:paraId="39D884E3" w14:textId="77777777" w:rsidR="00465401" w:rsidRPr="005C2BFA" w:rsidRDefault="00465401" w:rsidP="00DF7FB4">
      <w:pPr>
        <w:spacing w:before="120" w:after="120" w:line="360" w:lineRule="auto"/>
        <w:jc w:val="center"/>
        <w:rPr>
          <w:rFonts w:ascii="Verdana" w:hAnsi="Verdana"/>
          <w:b/>
          <w:lang w:val="en-US"/>
        </w:rPr>
      </w:pPr>
      <w:r w:rsidRPr="005C2BFA">
        <w:rPr>
          <w:rFonts w:ascii="Verdana" w:hAnsi="Verdana"/>
          <w:b/>
          <w:bCs/>
          <w:lang w:val="en-US"/>
        </w:rPr>
        <w:t>§2</w:t>
      </w:r>
    </w:p>
    <w:p w14:paraId="426EC4D1" w14:textId="29F0DC08" w:rsidR="00465401" w:rsidRPr="005C2BFA"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The Guarantor hereby provides an unconditional and irrevocable surety for the Clearing House Member’s liabilities referred to in § 1 of this Agreement up to the amount of PLN .................... (..................... Polish zloty).</w:t>
      </w:r>
    </w:p>
    <w:p w14:paraId="2E81634A" w14:textId="16FC19B7" w:rsidR="00465401" w:rsidRPr="005C2BFA"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The surety is granted until .............................</w:t>
      </w:r>
    </w:p>
    <w:p w14:paraId="79695A6E" w14:textId="186DDC97" w:rsidR="0056404B" w:rsidRPr="005C2BFA" w:rsidRDefault="00465401" w:rsidP="00021885">
      <w:pPr>
        <w:numPr>
          <w:ilvl w:val="0"/>
          <w:numId w:val="1"/>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Whenever the scope of the Clearing House Member’s liabilities referred to in § 1 changes, the surety shall automatically cover such changed scope of the Clearing House Member’s liabilities, although it shall not affect the maximum total amount of the surety specified in sec. 1. The Guarantor hereby releases IRGiT of the obligation to notify the Guarantor in writing of a change in the scope the Clearing House Member’s liabilities.</w:t>
      </w:r>
    </w:p>
    <w:p w14:paraId="5A3CC3C8" w14:textId="34B875A3" w:rsidR="00A30D80" w:rsidRPr="005C2BFA" w:rsidRDefault="00A30D80" w:rsidP="00021885">
      <w:pPr>
        <w:numPr>
          <w:ilvl w:val="0"/>
          <w:numId w:val="1"/>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The Guarantor hereby represents that:</w:t>
      </w:r>
    </w:p>
    <w:p w14:paraId="149725C9" w14:textId="591FAA42" w:rsidR="00B26B80" w:rsidRPr="005C2BFA" w:rsidRDefault="00B26B80" w:rsidP="00B26B80">
      <w:pPr>
        <w:pStyle w:val="Akapitzlist"/>
        <w:numPr>
          <w:ilvl w:val="0"/>
          <w:numId w:val="20"/>
        </w:numPr>
        <w:spacing w:before="120" w:after="120" w:line="360" w:lineRule="auto"/>
        <w:jc w:val="both"/>
        <w:rPr>
          <w:rFonts w:ascii="Verdana" w:hAnsi="Verdana"/>
          <w:lang w:val="en-US"/>
        </w:rPr>
      </w:pPr>
      <w:r w:rsidRPr="005C2BFA">
        <w:rPr>
          <w:rFonts w:ascii="Verdana" w:hAnsi="Verdana"/>
          <w:lang w:val="en-US"/>
        </w:rPr>
        <w:t>the execution and performance of this Agreement shall not result in a breach of its corporate documents, internal regulations or any provision of Polish law;</w:t>
      </w:r>
    </w:p>
    <w:p w14:paraId="0B492661" w14:textId="77777777" w:rsidR="00997B4B" w:rsidRPr="005C2BFA" w:rsidRDefault="00B26B80" w:rsidP="00B26B80">
      <w:pPr>
        <w:pStyle w:val="Akapitzlist"/>
        <w:numPr>
          <w:ilvl w:val="0"/>
          <w:numId w:val="20"/>
        </w:numPr>
        <w:spacing w:before="120" w:after="120" w:line="360" w:lineRule="auto"/>
        <w:jc w:val="both"/>
        <w:rPr>
          <w:rFonts w:ascii="Verdana" w:hAnsi="Verdana"/>
          <w:lang w:val="en-US"/>
        </w:rPr>
      </w:pPr>
      <w:r w:rsidRPr="005C2BFA">
        <w:rPr>
          <w:rFonts w:ascii="Verdana" w:hAnsi="Verdana"/>
          <w:lang w:val="en-US"/>
        </w:rPr>
        <w:t>it has obtained all authorizations required for the proper execution or performance of this Agreement as well as for the validity and effectiveness hereof;</w:t>
      </w:r>
    </w:p>
    <w:p w14:paraId="2385CC8D" w14:textId="4D20AB54" w:rsidR="00B26B80" w:rsidRPr="005C2BFA" w:rsidRDefault="00997B4B" w:rsidP="00B26B80">
      <w:pPr>
        <w:pStyle w:val="Akapitzlist"/>
        <w:numPr>
          <w:ilvl w:val="0"/>
          <w:numId w:val="20"/>
        </w:numPr>
        <w:spacing w:before="120" w:after="120" w:line="360" w:lineRule="auto"/>
        <w:jc w:val="both"/>
        <w:rPr>
          <w:rFonts w:ascii="Verdana" w:hAnsi="Verdana"/>
          <w:lang w:val="en-US"/>
        </w:rPr>
      </w:pPr>
      <w:r w:rsidRPr="005C2BFA">
        <w:rPr>
          <w:rFonts w:ascii="Verdana" w:hAnsi="Verdana"/>
          <w:lang w:val="en-US"/>
        </w:rPr>
        <w:t>its financial standing enables it to fully comply with the provisions of this Agreement.</w:t>
      </w:r>
    </w:p>
    <w:p w14:paraId="7F5C1389" w14:textId="77777777" w:rsidR="0056404B" w:rsidRPr="005C2BFA" w:rsidRDefault="0056404B" w:rsidP="00021885">
      <w:pPr>
        <w:spacing w:before="120" w:after="120" w:line="360" w:lineRule="auto"/>
        <w:jc w:val="both"/>
        <w:rPr>
          <w:rFonts w:ascii="Verdana" w:hAnsi="Verdana"/>
          <w:lang w:val="en-US"/>
        </w:rPr>
      </w:pPr>
    </w:p>
    <w:p w14:paraId="6345E2A0" w14:textId="77777777" w:rsidR="00465401" w:rsidRPr="005C2BFA" w:rsidRDefault="00465401" w:rsidP="00DF7FB4">
      <w:pPr>
        <w:spacing w:before="120" w:after="120" w:line="360" w:lineRule="auto"/>
        <w:jc w:val="center"/>
        <w:rPr>
          <w:rFonts w:ascii="Verdana" w:hAnsi="Verdana"/>
          <w:b/>
          <w:lang w:val="en-US"/>
        </w:rPr>
      </w:pPr>
      <w:r w:rsidRPr="005C2BFA">
        <w:rPr>
          <w:rFonts w:ascii="Verdana" w:hAnsi="Verdana"/>
          <w:b/>
          <w:bCs/>
          <w:lang w:val="en-US"/>
        </w:rPr>
        <w:t>§3</w:t>
      </w:r>
    </w:p>
    <w:p w14:paraId="6796C02A" w14:textId="49A6D04E" w:rsidR="0022367B" w:rsidRPr="005C2BFA" w:rsidRDefault="0022367B" w:rsidP="00203077">
      <w:pPr>
        <w:pStyle w:val="Akapitzlist"/>
        <w:numPr>
          <w:ilvl w:val="0"/>
          <w:numId w:val="23"/>
        </w:numPr>
        <w:spacing w:before="120" w:after="120" w:line="360" w:lineRule="auto"/>
        <w:ind w:left="284"/>
        <w:jc w:val="both"/>
        <w:rPr>
          <w:rFonts w:ascii="Verdana" w:hAnsi="Verdana"/>
          <w:lang w:val="en-US"/>
        </w:rPr>
      </w:pPr>
      <w:r w:rsidRPr="005C2BFA">
        <w:rPr>
          <w:rFonts w:ascii="Verdana" w:hAnsi="Verdana"/>
          <w:lang w:val="en-US"/>
        </w:rPr>
        <w:t xml:space="preserve">The Guarantor hereby represents that it shall satisfy all IRGiT’s claims arising from the Clearing House Member’s failure to satisfy the liabilities referred to in § 1, including, without limitation, a situation in which the Clearing House Member notifies IRGiT about its inability to make a repayment for reasons attributable to the Guarantor. The notification referred to in the preceding sentence shall be sent by e-mail to the following address: dzr@irgit.pl with an indication of the amount of the liability referred to in § 1. The Parties agree that for the purposes of this Agreement, the notification referred to in the first sentence shall be deemed effective and made in documentary form. </w:t>
      </w:r>
    </w:p>
    <w:p w14:paraId="1E9D1174" w14:textId="2BFF2C75" w:rsidR="0022367B" w:rsidRPr="005C2BFA" w:rsidRDefault="004D2A65" w:rsidP="00203077">
      <w:pPr>
        <w:pStyle w:val="Akapitzlist"/>
        <w:numPr>
          <w:ilvl w:val="0"/>
          <w:numId w:val="23"/>
        </w:numPr>
        <w:spacing w:line="360" w:lineRule="auto"/>
        <w:ind w:left="284"/>
        <w:jc w:val="both"/>
        <w:rPr>
          <w:rFonts w:ascii="Verdana" w:hAnsi="Verdana"/>
          <w:lang w:val="en-US"/>
        </w:rPr>
      </w:pPr>
      <w:r w:rsidRPr="005C2BFA">
        <w:rPr>
          <w:rFonts w:ascii="Verdana" w:hAnsi="Verdana"/>
          <w:lang w:val="en-US"/>
        </w:rPr>
        <w:lastRenderedPageBreak/>
        <w:t>In the situation referred to in sec. 1, the Guarantor undertakes to make the performance towards IRGiT at the first request, within 1 business day from the date of receipt of the notification referred to in sec. 3, by paying the amount specified by IRGiT, constituting the Clearing House Member’s liability referred to in § 1, to the account indicated in such notification. The date of receipt of the notification referred to in the preceding sentence shall be construed as the date of delivery in a manner enabling the Guarantor to read its content. If the notification is sent by e-mail, it shall be construed as the date of sending such message in accordance with sec. 3. The payment date shall be the date on which the bank account indicated by IRGiT is credited in full with the amount indicated in the notification referred to in sec. 3 below.</w:t>
      </w:r>
    </w:p>
    <w:p w14:paraId="3832C2A1" w14:textId="7DD7F63E" w:rsidR="00E674CA" w:rsidRPr="005C2BFA" w:rsidRDefault="00E674CA" w:rsidP="00E674CA">
      <w:pPr>
        <w:pStyle w:val="Akapitzlist"/>
        <w:numPr>
          <w:ilvl w:val="0"/>
          <w:numId w:val="23"/>
        </w:numPr>
        <w:spacing w:line="360" w:lineRule="auto"/>
        <w:ind w:left="284"/>
        <w:jc w:val="both"/>
        <w:rPr>
          <w:rFonts w:ascii="Verdana" w:hAnsi="Verdana"/>
          <w:lang w:val="en-US"/>
        </w:rPr>
      </w:pPr>
      <w:r w:rsidRPr="005C2BFA">
        <w:rPr>
          <w:rFonts w:ascii="Verdana" w:hAnsi="Verdana"/>
          <w:lang w:val="en-US"/>
        </w:rPr>
        <w:t>Promptly following the occurrence of the circumstances specified in sec. 1, IRGiT shall notify the Guarantor of the amount of the liability referred to in § 1 and the payment due date by e-mail to the following address: ............. and ............. or in writing to the address of its registered office indicated in the Agreement.</w:t>
      </w:r>
      <w:bookmarkStart w:id="8" w:name="_Hlk5867816"/>
      <w:bookmarkEnd w:id="8"/>
      <w:r w:rsidRPr="005C2BFA">
        <w:rPr>
          <w:rFonts w:ascii="Verdana" w:hAnsi="Verdana"/>
          <w:lang w:val="en-US"/>
        </w:rPr>
        <w:t xml:space="preserve"> The Parties agree that for the purposes of this Agreement, the notification referred to in the first sentence shall be deemed effective. </w:t>
      </w:r>
    </w:p>
    <w:p w14:paraId="72F94012" w14:textId="58AF2AFF" w:rsidR="00833E5A" w:rsidRPr="005C2BFA" w:rsidRDefault="00833E5A" w:rsidP="00833E5A">
      <w:pPr>
        <w:pStyle w:val="Akapitzlist"/>
        <w:numPr>
          <w:ilvl w:val="0"/>
          <w:numId w:val="23"/>
        </w:numPr>
        <w:spacing w:line="360" w:lineRule="auto"/>
        <w:ind w:left="284"/>
        <w:jc w:val="both"/>
        <w:rPr>
          <w:rFonts w:ascii="Verdana" w:hAnsi="Verdana"/>
          <w:lang w:val="en-US"/>
        </w:rPr>
      </w:pPr>
      <w:r w:rsidRPr="005C2BFA">
        <w:rPr>
          <w:rFonts w:ascii="Verdana" w:hAnsi="Verdana"/>
          <w:lang w:val="en-US"/>
        </w:rPr>
        <w:t xml:space="preserve">In order to secure the Guarantor’s liabilities, the Guarantor shall execute with IRGIT an agreement to transfer as security the Property Rights under Certificates of Origin registered in the Certificates of Origin Register kept by the Polish Power Exchange, the value of which (up to the amount of the surety), together with the amount of collateral in cash form or in any non-cash form acceptable by IRGiT, shall constitute the total value of the collateral provided for the clearing of transactions executed by the Clearing House Member at the request of the Guarantor or as a result thereof, to be determined in accordance with the provisions of the Detailed Clearing and Settlement Rules and the ECH Regulations. </w:t>
      </w:r>
    </w:p>
    <w:p w14:paraId="0C48E3DA" w14:textId="6C3C5FFD" w:rsidR="00E674CA" w:rsidRPr="005C2BFA" w:rsidRDefault="00833E5A" w:rsidP="00833E5A">
      <w:pPr>
        <w:pStyle w:val="Akapitzlist"/>
        <w:numPr>
          <w:ilvl w:val="0"/>
          <w:numId w:val="23"/>
        </w:numPr>
        <w:spacing w:line="360" w:lineRule="auto"/>
        <w:ind w:left="284"/>
        <w:jc w:val="both"/>
        <w:rPr>
          <w:rFonts w:ascii="Verdana" w:hAnsi="Verdana"/>
          <w:lang w:val="en-US"/>
        </w:rPr>
      </w:pPr>
      <w:r w:rsidRPr="005C2BFA">
        <w:rPr>
          <w:rFonts w:ascii="Verdana" w:hAnsi="Verdana"/>
          <w:lang w:val="en-US"/>
        </w:rPr>
        <w:t>The Guarantor shall provide the Clearing House Member with a copy of the agreement signed in accordance with sec. 4.</w:t>
      </w:r>
    </w:p>
    <w:p w14:paraId="0A5842C9" w14:textId="77777777" w:rsidR="00E674CA" w:rsidRPr="005C2BFA" w:rsidRDefault="00E674CA" w:rsidP="00E674CA">
      <w:pPr>
        <w:pStyle w:val="Akapitzlist"/>
        <w:spacing w:line="360" w:lineRule="auto"/>
        <w:ind w:left="284"/>
        <w:jc w:val="both"/>
        <w:rPr>
          <w:rFonts w:ascii="Verdana" w:hAnsi="Verdana"/>
          <w:lang w:val="en-US"/>
        </w:rPr>
      </w:pPr>
    </w:p>
    <w:p w14:paraId="24FB43DF" w14:textId="77777777" w:rsidR="00465401" w:rsidRPr="005C2BFA" w:rsidRDefault="00465401" w:rsidP="00DF7FB4">
      <w:pPr>
        <w:spacing w:before="120" w:after="120" w:line="360" w:lineRule="auto"/>
        <w:jc w:val="center"/>
        <w:rPr>
          <w:rFonts w:ascii="Verdana" w:hAnsi="Verdana"/>
          <w:b/>
          <w:lang w:val="en-US"/>
        </w:rPr>
      </w:pPr>
      <w:r w:rsidRPr="005C2BFA">
        <w:rPr>
          <w:rFonts w:ascii="Verdana" w:hAnsi="Verdana"/>
          <w:b/>
          <w:bCs/>
          <w:lang w:val="en-US"/>
        </w:rPr>
        <w:t>§4</w:t>
      </w:r>
    </w:p>
    <w:p w14:paraId="56678F30" w14:textId="0106A9A7" w:rsidR="00465401" w:rsidRPr="005C2BFA" w:rsidRDefault="00465401" w:rsidP="00884BDE">
      <w:pPr>
        <w:numPr>
          <w:ilvl w:val="0"/>
          <w:numId w:val="16"/>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The Guarantor hereby represents that, except as otherwise provided in the Agreement, all notifications sent in connection with the Agreement must be sent to the address indicated at the beginning of the Agreement.</w:t>
      </w:r>
      <w:bookmarkStart w:id="9" w:name="_Hlk50372429"/>
      <w:bookmarkEnd w:id="9"/>
    </w:p>
    <w:p w14:paraId="34385851" w14:textId="3E25A496" w:rsidR="00EA6801" w:rsidRDefault="00465401" w:rsidP="0085581B">
      <w:pPr>
        <w:numPr>
          <w:ilvl w:val="0"/>
          <w:numId w:val="16"/>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 xml:space="preserve">A change of address by a Party shall not constitute an amendment to the Agreement. In the event of the change referred to in the previous sentence, the Party making such change shall promptly notify the other Party thereof, no later than within 2 days of such change. If the notification is not made by the date specified in the previous sentence, </w:t>
      </w:r>
      <w:r w:rsidRPr="005C2BFA">
        <w:rPr>
          <w:rFonts w:ascii="Verdana" w:hAnsi="Verdana"/>
          <w:lang w:val="en-US"/>
        </w:rPr>
        <w:lastRenderedPageBreak/>
        <w:t>any communication delivered to the previous address shall be deemed effectively delivered.</w:t>
      </w:r>
    </w:p>
    <w:p w14:paraId="4527F046" w14:textId="77777777" w:rsidR="005C2BFA" w:rsidRPr="005C2BFA" w:rsidRDefault="005C2BFA" w:rsidP="005C2BFA">
      <w:pPr>
        <w:spacing w:before="120" w:after="120" w:line="360" w:lineRule="auto"/>
        <w:jc w:val="both"/>
        <w:rPr>
          <w:rFonts w:ascii="Verdana" w:hAnsi="Verdana"/>
          <w:lang w:val="en-US"/>
        </w:rPr>
      </w:pPr>
    </w:p>
    <w:p w14:paraId="6D6DC304" w14:textId="77777777" w:rsidR="00EA6801" w:rsidRPr="005C2BFA" w:rsidRDefault="00EA6801" w:rsidP="00EA6801">
      <w:pPr>
        <w:spacing w:before="120" w:after="120" w:line="360" w:lineRule="auto"/>
        <w:jc w:val="center"/>
        <w:rPr>
          <w:rFonts w:ascii="Verdana" w:hAnsi="Verdana"/>
          <w:b/>
          <w:bCs/>
          <w:lang w:val="en-US"/>
        </w:rPr>
      </w:pPr>
      <w:r w:rsidRPr="005C2BFA">
        <w:rPr>
          <w:rFonts w:ascii="Verdana" w:hAnsi="Verdana"/>
          <w:b/>
          <w:bCs/>
          <w:lang w:val="en-US"/>
        </w:rPr>
        <w:t>§ 5</w:t>
      </w:r>
    </w:p>
    <w:p w14:paraId="193E1D7C" w14:textId="77777777" w:rsidR="00151190" w:rsidRPr="005C2BFA" w:rsidRDefault="00151190" w:rsidP="00151190">
      <w:pPr>
        <w:pStyle w:val="Tekstpodstawowy"/>
        <w:numPr>
          <w:ilvl w:val="0"/>
          <w:numId w:val="25"/>
        </w:numPr>
        <w:spacing w:line="360" w:lineRule="auto"/>
        <w:rPr>
          <w:rFonts w:ascii="Verdana" w:hAnsi="Verdana"/>
          <w:lang w:val="en-US"/>
        </w:rPr>
      </w:pPr>
      <w:r w:rsidRPr="005C2BFA">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7EFDED05" w14:textId="77777777" w:rsidR="00151190" w:rsidRPr="005C2BFA" w:rsidRDefault="00151190" w:rsidP="00151190">
      <w:pPr>
        <w:pStyle w:val="Tekstpodstawowy"/>
        <w:numPr>
          <w:ilvl w:val="0"/>
          <w:numId w:val="25"/>
        </w:numPr>
        <w:spacing w:line="360" w:lineRule="auto"/>
        <w:rPr>
          <w:rFonts w:ascii="Verdana" w:hAnsi="Verdana"/>
          <w:lang w:val="en-US"/>
        </w:rPr>
      </w:pPr>
      <w:r w:rsidRPr="005C2BFA">
        <w:rPr>
          <w:rFonts w:ascii="Verdana" w:hAnsi="Verdana"/>
          <w:lang w:val="en-US"/>
        </w:rPr>
        <w:t>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7C1E9483" w14:textId="556F27CB" w:rsidR="00920D52" w:rsidRPr="005C2BFA" w:rsidRDefault="00151190" w:rsidP="00920D52">
      <w:pPr>
        <w:pStyle w:val="Tekstpodstawowy"/>
        <w:numPr>
          <w:ilvl w:val="0"/>
          <w:numId w:val="25"/>
        </w:numPr>
        <w:spacing w:line="360" w:lineRule="auto"/>
        <w:rPr>
          <w:rFonts w:ascii="Verdana" w:hAnsi="Verdana"/>
          <w:lang w:val="en-US"/>
        </w:rPr>
      </w:pPr>
      <w:r w:rsidRPr="005C2BFA">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CAF9E36" w14:textId="4F409846" w:rsidR="00EA6801" w:rsidRPr="005C2BFA" w:rsidRDefault="00EA6801" w:rsidP="00920D52">
      <w:pPr>
        <w:pStyle w:val="Tekstpodstawowy"/>
        <w:numPr>
          <w:ilvl w:val="0"/>
          <w:numId w:val="25"/>
        </w:numPr>
        <w:spacing w:line="360" w:lineRule="auto"/>
        <w:rPr>
          <w:rFonts w:ascii="Verdana" w:hAnsi="Verdana"/>
          <w:lang w:val="en-US"/>
        </w:rPr>
      </w:pPr>
      <w:r w:rsidRPr="005C2BFA">
        <w:rPr>
          <w:rFonts w:ascii="Verdana" w:hAnsi="Verdana" w:cs="Arial"/>
          <w:color w:val="000000"/>
          <w:lang w:val="en-US"/>
        </w:rPr>
        <w:t>Each Party undertakes to fulfill its information obligation in the above scope in accordance with the applicable regulations. IRGiT’s information clause constitutes Appendix 1 to the Agreement.</w:t>
      </w:r>
    </w:p>
    <w:p w14:paraId="37710937" w14:textId="77777777" w:rsidR="00EA6801" w:rsidRPr="005C2BFA" w:rsidRDefault="00EA6801" w:rsidP="00EA6801">
      <w:pPr>
        <w:spacing w:before="120" w:after="120" w:line="360" w:lineRule="auto"/>
        <w:jc w:val="both"/>
        <w:rPr>
          <w:rFonts w:ascii="Verdana" w:hAnsi="Verdana"/>
          <w:lang w:val="en-US"/>
        </w:rPr>
      </w:pPr>
    </w:p>
    <w:p w14:paraId="6867F584" w14:textId="65BEDB57" w:rsidR="00465401" w:rsidRPr="005C2BFA" w:rsidRDefault="00465401" w:rsidP="00DF7FB4">
      <w:pPr>
        <w:spacing w:before="120" w:after="120" w:line="360" w:lineRule="auto"/>
        <w:jc w:val="center"/>
        <w:rPr>
          <w:rFonts w:ascii="Verdana" w:hAnsi="Verdana"/>
          <w:b/>
          <w:lang w:val="en-US"/>
        </w:rPr>
      </w:pPr>
      <w:r w:rsidRPr="005C2BFA">
        <w:rPr>
          <w:rFonts w:ascii="Verdana" w:hAnsi="Verdana"/>
          <w:b/>
          <w:bCs/>
          <w:lang w:val="en-US"/>
        </w:rPr>
        <w:t>§ 6</w:t>
      </w:r>
    </w:p>
    <w:p w14:paraId="0765DA18" w14:textId="6D3AE29B" w:rsidR="00932387" w:rsidRPr="005C2BFA" w:rsidRDefault="00932387" w:rsidP="00884BDE">
      <w:pPr>
        <w:numPr>
          <w:ilvl w:val="0"/>
          <w:numId w:val="17"/>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This Agreement shall enter into force on .................</w:t>
      </w:r>
    </w:p>
    <w:p w14:paraId="7742A496" w14:textId="3478551C" w:rsidR="00465401" w:rsidRPr="005C2BFA"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Any matters not regulated in this Agreement shall be governed by the provisions of the Civil Code, in particular by the provisions of Articles 876–878.</w:t>
      </w:r>
    </w:p>
    <w:p w14:paraId="52B11450" w14:textId="5ED9D589" w:rsidR="00465401" w:rsidRPr="005C2BFA"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Any amendments to this Agreement shall be made in writing in the form of an annex, except for amendments to the contact persons or e-mail addresses, which shall only require a declaration by the Party concerned, signed by its authorized persons in accordance with the rules of representation.</w:t>
      </w:r>
    </w:p>
    <w:p w14:paraId="1025D0AF" w14:textId="5204F8AA" w:rsidR="00DF2F2C" w:rsidRPr="005C2BFA" w:rsidRDefault="00DF2F2C" w:rsidP="00884BDE">
      <w:pPr>
        <w:numPr>
          <w:ilvl w:val="0"/>
          <w:numId w:val="17"/>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t>Any disputes arising between the Parties from the relationship covered by this Agreement shall be submitted by the Parties for resolution to the court of arbitration at the Polish Power Exchange in Warsaw.</w:t>
      </w:r>
    </w:p>
    <w:p w14:paraId="39D1497D" w14:textId="77777777" w:rsidR="000703F3" w:rsidRPr="005C2BFA" w:rsidRDefault="00465401" w:rsidP="00B50F54">
      <w:pPr>
        <w:numPr>
          <w:ilvl w:val="0"/>
          <w:numId w:val="17"/>
        </w:numPr>
        <w:tabs>
          <w:tab w:val="clear" w:pos="360"/>
        </w:tabs>
        <w:spacing w:before="120" w:after="120" w:line="360" w:lineRule="auto"/>
        <w:ind w:left="284" w:hanging="284"/>
        <w:jc w:val="both"/>
        <w:rPr>
          <w:rFonts w:ascii="Verdana" w:hAnsi="Verdana"/>
          <w:lang w:val="en-US"/>
        </w:rPr>
      </w:pPr>
      <w:r w:rsidRPr="005C2BFA">
        <w:rPr>
          <w:rFonts w:ascii="Verdana" w:hAnsi="Verdana"/>
          <w:lang w:val="en-US"/>
        </w:rPr>
        <w:lastRenderedPageBreak/>
        <w:t>This Agreement has been executed in three identical counterparts – one for each of the Parties.</w:t>
      </w:r>
      <w:bookmarkStart w:id="10" w:name="_Hlk514151708"/>
    </w:p>
    <w:p w14:paraId="5074C86A" w14:textId="534CC8B7" w:rsidR="000703F3" w:rsidRPr="005C2BFA" w:rsidRDefault="000703F3" w:rsidP="000703F3">
      <w:pPr>
        <w:spacing w:line="360" w:lineRule="auto"/>
        <w:jc w:val="both"/>
        <w:rPr>
          <w:rFonts w:ascii="Verdana" w:hAnsi="Verdana"/>
          <w:b/>
          <w:lang w:val="en-US"/>
        </w:rPr>
      </w:pPr>
    </w:p>
    <w:p w14:paraId="43BD07DF" w14:textId="77777777" w:rsidR="0016123B" w:rsidRPr="005C2BFA" w:rsidRDefault="0016123B" w:rsidP="000703F3">
      <w:pPr>
        <w:spacing w:line="360" w:lineRule="auto"/>
        <w:jc w:val="both"/>
        <w:rPr>
          <w:rFonts w:ascii="Verdana" w:hAnsi="Verdana"/>
          <w:b/>
          <w:lang w:val="en-US"/>
        </w:rPr>
      </w:pPr>
    </w:p>
    <w:p w14:paraId="56A87B06" w14:textId="77777777" w:rsidR="000703F3" w:rsidRPr="005C2BFA" w:rsidRDefault="000703F3" w:rsidP="000703F3">
      <w:pPr>
        <w:spacing w:line="360" w:lineRule="auto"/>
        <w:jc w:val="both"/>
        <w:rPr>
          <w:rFonts w:ascii="Verdana" w:hAnsi="Verdana"/>
          <w:b/>
          <w:lang w:val="en-US"/>
        </w:rPr>
      </w:pPr>
    </w:p>
    <w:p w14:paraId="2F109D0C" w14:textId="31029E6F" w:rsidR="000703F3" w:rsidRPr="005C2BFA" w:rsidRDefault="000703F3" w:rsidP="000703F3">
      <w:pPr>
        <w:spacing w:line="360" w:lineRule="auto"/>
        <w:jc w:val="both"/>
        <w:rPr>
          <w:rFonts w:ascii="Verdana" w:hAnsi="Verdana"/>
          <w:b/>
          <w:lang w:val="en-US"/>
        </w:rPr>
      </w:pPr>
      <w:r w:rsidRPr="005C2BFA">
        <w:rPr>
          <w:rFonts w:ascii="Verdana" w:hAnsi="Verdana"/>
          <w:b/>
          <w:bCs/>
          <w:lang w:val="en-US"/>
        </w:rPr>
        <w:t>………………..                       ……………………                     ……………………….</w:t>
      </w:r>
    </w:p>
    <w:p w14:paraId="40D1644C" w14:textId="7AA07593" w:rsidR="00465401" w:rsidRPr="005C2BFA" w:rsidRDefault="00DF7FB4" w:rsidP="000703F3">
      <w:pPr>
        <w:spacing w:line="360" w:lineRule="auto"/>
        <w:jc w:val="both"/>
        <w:rPr>
          <w:rFonts w:ascii="Verdana" w:hAnsi="Verdana"/>
          <w:b/>
          <w:lang w:val="en-US"/>
        </w:rPr>
      </w:pPr>
      <w:r w:rsidRPr="005C2BFA">
        <w:rPr>
          <w:rFonts w:ascii="Verdana" w:hAnsi="Verdana"/>
          <w:b/>
          <w:bCs/>
          <w:lang w:val="en-US"/>
        </w:rPr>
        <w:t xml:space="preserve">     IRGiT</w:t>
      </w:r>
      <w:r w:rsidRPr="005C2BFA">
        <w:rPr>
          <w:rFonts w:ascii="Verdana" w:hAnsi="Verdana"/>
          <w:b/>
          <w:bCs/>
          <w:lang w:val="en-US"/>
        </w:rPr>
        <w:tab/>
      </w:r>
      <w:r w:rsidRPr="005C2BFA">
        <w:rPr>
          <w:rFonts w:ascii="Verdana" w:hAnsi="Verdana"/>
          <w:b/>
          <w:bCs/>
          <w:lang w:val="en-US"/>
        </w:rPr>
        <w:tab/>
      </w:r>
      <w:r w:rsidRPr="005C2BFA">
        <w:rPr>
          <w:rFonts w:ascii="Verdana" w:hAnsi="Verdana"/>
          <w:b/>
          <w:bCs/>
          <w:lang w:val="en-US"/>
        </w:rPr>
        <w:tab/>
      </w:r>
      <w:bookmarkEnd w:id="10"/>
      <w:r w:rsidRPr="005C2BFA">
        <w:rPr>
          <w:rFonts w:ascii="Verdana" w:hAnsi="Verdana"/>
          <w:b/>
          <w:bCs/>
          <w:lang w:val="en-US"/>
        </w:rPr>
        <w:t xml:space="preserve">    Guarantor                      Clearing House Member</w:t>
      </w:r>
    </w:p>
    <w:p w14:paraId="1988ECAB" w14:textId="77777777" w:rsidR="00920D52" w:rsidRPr="005C2BFA" w:rsidRDefault="00920D52" w:rsidP="0016123B">
      <w:pPr>
        <w:spacing w:before="120" w:after="120" w:line="360" w:lineRule="auto"/>
        <w:jc w:val="both"/>
        <w:rPr>
          <w:rFonts w:ascii="Verdana" w:hAnsi="Verdana"/>
          <w:bCs/>
          <w:lang w:val="en-US"/>
        </w:rPr>
      </w:pPr>
    </w:p>
    <w:p w14:paraId="42439106" w14:textId="77777777" w:rsidR="005C2BFA" w:rsidRDefault="005C2BFA">
      <w:pPr>
        <w:rPr>
          <w:rFonts w:ascii="Verdana" w:hAnsi="Verdana"/>
          <w:lang w:val="en-US"/>
        </w:rPr>
      </w:pPr>
      <w:r>
        <w:rPr>
          <w:rFonts w:ascii="Verdana" w:hAnsi="Verdana"/>
          <w:lang w:val="en-US"/>
        </w:rPr>
        <w:br w:type="page"/>
      </w:r>
    </w:p>
    <w:p w14:paraId="5E93D568" w14:textId="283988D8" w:rsidR="0016123B" w:rsidRPr="005C2BFA" w:rsidRDefault="0016123B" w:rsidP="00945B8F">
      <w:pPr>
        <w:spacing w:before="120" w:after="120" w:line="360" w:lineRule="auto"/>
        <w:jc w:val="both"/>
        <w:rPr>
          <w:rFonts w:ascii="Verdana" w:hAnsi="Verdana"/>
          <w:bCs/>
          <w:lang w:val="en-US"/>
        </w:rPr>
      </w:pPr>
      <w:r w:rsidRPr="005C2BFA">
        <w:rPr>
          <w:rFonts w:ascii="Verdana" w:hAnsi="Verdana"/>
          <w:lang w:val="en-US"/>
        </w:rPr>
        <w:lastRenderedPageBreak/>
        <w:t>Appendix 1</w:t>
      </w:r>
    </w:p>
    <w:p w14:paraId="7C14547E"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32FA54F8"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8" w:history="1">
        <w:r w:rsidRPr="005C2BFA">
          <w:rPr>
            <w:rStyle w:val="Hipercze"/>
            <w:rFonts w:ascii="Verdana" w:hAnsi="Verdana"/>
            <w:lang w:val="en-US"/>
          </w:rPr>
          <w:t>22 341 99 01</w:t>
        </w:r>
      </w:hyperlink>
      <w:r w:rsidRPr="005C2BFA">
        <w:rPr>
          <w:rFonts w:ascii="Verdana" w:hAnsi="Verdana"/>
          <w:lang w:val="en-US"/>
        </w:rPr>
        <w:t xml:space="preserve">, </w:t>
      </w:r>
      <w:hyperlink r:id="rId9" w:history="1">
        <w:r w:rsidRPr="005C2BFA">
          <w:rPr>
            <w:rStyle w:val="Hipercze"/>
            <w:rFonts w:ascii="Verdana" w:hAnsi="Verdana"/>
            <w:lang w:val="en-US"/>
          </w:rPr>
          <w:t>irgit@irgit.pl</w:t>
        </w:r>
      </w:hyperlink>
      <w:r w:rsidRPr="005C2BFA">
        <w:rPr>
          <w:rFonts w:ascii="Verdana" w:hAnsi="Verdana"/>
          <w:lang w:val="en-US"/>
        </w:rPr>
        <w:t xml:space="preserve">. </w:t>
      </w:r>
    </w:p>
    <w:p w14:paraId="489A76D9"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The controller has appointed a Data Protection Officer who may be contacted by e-mail at iod@irgit.pl. </w:t>
      </w:r>
    </w:p>
    <w:p w14:paraId="68CE4AFB"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4D1F6B74"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96A2D0A"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094EA1B1" w14:textId="76045CA8"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289DBA9A"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Each person has the right to request access to their personal data, rectify or delete such data, restrict their processing or have them transferred. </w:t>
      </w:r>
    </w:p>
    <w:p w14:paraId="460C5B5F" w14:textId="20638574"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31A128B" w14:textId="77777777" w:rsidR="00945B8F" w:rsidRPr="005C2BFA" w:rsidRDefault="00945B8F" w:rsidP="00945B8F">
      <w:pPr>
        <w:spacing w:before="120" w:after="120" w:line="276" w:lineRule="auto"/>
        <w:jc w:val="both"/>
        <w:rPr>
          <w:rFonts w:ascii="Verdana" w:hAnsi="Verdana"/>
          <w:lang w:val="en-US"/>
        </w:rPr>
      </w:pPr>
      <w:r w:rsidRPr="005C2BFA">
        <w:rPr>
          <w:rFonts w:ascii="Verdana" w:hAnsi="Verdana"/>
          <w:lang w:val="en-US"/>
        </w:rPr>
        <w:t xml:space="preserve">Each person has the right to file a complaint against the processing of their data with the President of the Personal Data Protection Authority. </w:t>
      </w:r>
    </w:p>
    <w:p w14:paraId="21199D05" w14:textId="7A463FD3" w:rsidR="0016123B" w:rsidRPr="005C2BFA" w:rsidRDefault="00945B8F" w:rsidP="00945B8F">
      <w:pPr>
        <w:spacing w:before="120" w:after="120" w:line="276" w:lineRule="auto"/>
        <w:jc w:val="both"/>
        <w:rPr>
          <w:rFonts w:ascii="Verdana" w:hAnsi="Verdana"/>
          <w:bCs/>
          <w:lang w:val="en-US"/>
        </w:rPr>
      </w:pPr>
      <w:r w:rsidRPr="005C2BFA">
        <w:rPr>
          <w:rFonts w:ascii="Verdana" w:hAnsi="Verdana"/>
          <w:lang w:val="en-US"/>
        </w:rPr>
        <w:t>The provision of the data the subjects of which are persons authorized to represent the entity and of the data the subjects of which are persons designated for business contacts is a condition for the execution of the agreement.</w:t>
      </w:r>
    </w:p>
    <w:sectPr w:rsidR="0016123B" w:rsidRPr="005C2BFA">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8E05A" w14:textId="77777777" w:rsidR="001E3086" w:rsidRDefault="001E3086" w:rsidP="00DF7FB4">
      <w:r>
        <w:separator/>
      </w:r>
    </w:p>
  </w:endnote>
  <w:endnote w:type="continuationSeparator" w:id="0">
    <w:p w14:paraId="0C795984" w14:textId="77777777" w:rsidR="001E3086" w:rsidRDefault="001E3086" w:rsidP="00D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1244"/>
      <w:docPartObj>
        <w:docPartGallery w:val="Page Numbers (Bottom of Page)"/>
        <w:docPartUnique/>
      </w:docPartObj>
    </w:sdtPr>
    <w:sdtEndPr/>
    <w:sdtContent>
      <w:p w14:paraId="418A79E6" w14:textId="7B7FA9EB" w:rsidR="00A62609" w:rsidRDefault="00A62609">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506B24DB" w14:textId="77777777" w:rsidR="00A62609" w:rsidRDefault="00A62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EB98" w14:textId="77777777" w:rsidR="001E3086" w:rsidRDefault="001E3086" w:rsidP="00DF7FB4">
      <w:r>
        <w:separator/>
      </w:r>
    </w:p>
  </w:footnote>
  <w:footnote w:type="continuationSeparator" w:id="0">
    <w:p w14:paraId="1AA2C668" w14:textId="77777777" w:rsidR="001E3086" w:rsidRDefault="001E3086" w:rsidP="00D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0DA2" w14:textId="77777777" w:rsidR="00D828DF" w:rsidRPr="000425CA" w:rsidRDefault="00D828DF" w:rsidP="00D828DF">
    <w:pPr>
      <w:pStyle w:val="Nagwek"/>
      <w:jc w:val="center"/>
      <w:rPr>
        <w:color w:val="A6A6A6" w:themeColor="background1" w:themeShade="A6"/>
        <w:sz w:val="22"/>
        <w:szCs w:val="22"/>
      </w:rPr>
    </w:pPr>
    <w:r w:rsidRPr="000425CA">
      <w:rPr>
        <w:color w:val="A6A6A6" w:themeColor="background1" w:themeShade="A6"/>
        <w:sz w:val="22"/>
        <w:szCs w:val="22"/>
      </w:rPr>
      <w:t>Only the Polish version of the document is legally binding. This translation is provided for information only.</w:t>
    </w:r>
  </w:p>
  <w:p w14:paraId="3C68789B" w14:textId="77777777" w:rsidR="00A62609" w:rsidRPr="009D760B" w:rsidRDefault="00A62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8B4015F"/>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2F33DF"/>
    <w:multiLevelType w:val="hybridMultilevel"/>
    <w:tmpl w:val="39EEA9E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E67A3"/>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6706D53"/>
    <w:multiLevelType w:val="singleLevel"/>
    <w:tmpl w:val="311C8E8C"/>
    <w:lvl w:ilvl="0">
      <w:start w:val="1"/>
      <w:numFmt w:val="decimal"/>
      <w:lvlText w:val="%1."/>
      <w:lvlJc w:val="left"/>
      <w:pPr>
        <w:tabs>
          <w:tab w:val="num" w:pos="360"/>
        </w:tabs>
        <w:ind w:left="360" w:hanging="36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9" w15:restartNumberingAfterBreak="0">
    <w:nsid w:val="3E935BCC"/>
    <w:multiLevelType w:val="hybridMultilevel"/>
    <w:tmpl w:val="077C7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86CFE"/>
    <w:multiLevelType w:val="hybridMultilevel"/>
    <w:tmpl w:val="676E5594"/>
    <w:lvl w:ilvl="0" w:tplc="70E2242E">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58011F"/>
    <w:multiLevelType w:val="hybridMultilevel"/>
    <w:tmpl w:val="20F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879D4"/>
    <w:multiLevelType w:val="hybridMultilevel"/>
    <w:tmpl w:val="8F182D9E"/>
    <w:lvl w:ilvl="0" w:tplc="94C244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4"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63D1034A"/>
    <w:multiLevelType w:val="hybridMultilevel"/>
    <w:tmpl w:val="A52293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18" w15:restartNumberingAfterBreak="0">
    <w:nsid w:val="6B781DC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542"/>
    <w:multiLevelType w:val="hybridMultilevel"/>
    <w:tmpl w:val="9F8ADD50"/>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4E5A46"/>
    <w:multiLevelType w:val="hybridMultilevel"/>
    <w:tmpl w:val="85407916"/>
    <w:lvl w:ilvl="0" w:tplc="4E625BCE">
      <w:start w:val="1"/>
      <w:numFmt w:val="lowerLetter"/>
      <w:lvlText w:val="%1)"/>
      <w:lvlJc w:val="left"/>
      <w:pPr>
        <w:tabs>
          <w:tab w:val="num" w:pos="720"/>
        </w:tabs>
        <w:ind w:left="720" w:hanging="360"/>
      </w:pPr>
      <w:rPr>
        <w:rFonts w:hint="default"/>
      </w:rPr>
    </w:lvl>
    <w:lvl w:ilvl="1" w:tplc="59906EEC">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3B37B2"/>
    <w:multiLevelType w:val="hybridMultilevel"/>
    <w:tmpl w:val="59DA5E8A"/>
    <w:lvl w:ilvl="0" w:tplc="C260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2F1418"/>
    <w:multiLevelType w:val="hybridMultilevel"/>
    <w:tmpl w:val="2DA0BF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8"/>
  </w:num>
  <w:num w:numId="5">
    <w:abstractNumId w:val="5"/>
  </w:num>
  <w:num w:numId="6">
    <w:abstractNumId w:val="10"/>
  </w:num>
  <w:num w:numId="7">
    <w:abstractNumId w:val="0"/>
  </w:num>
  <w:num w:numId="8">
    <w:abstractNumId w:val="3"/>
  </w:num>
  <w:num w:numId="9">
    <w:abstractNumId w:val="15"/>
  </w:num>
  <w:num w:numId="10">
    <w:abstractNumId w:val="2"/>
  </w:num>
  <w:num w:numId="11">
    <w:abstractNumId w:val="20"/>
  </w:num>
  <w:num w:numId="12">
    <w:abstractNumId w:val="21"/>
  </w:num>
  <w:num w:numId="13">
    <w:abstractNumId w:val="6"/>
  </w:num>
  <w:num w:numId="14">
    <w:abstractNumId w:val="19"/>
  </w:num>
  <w:num w:numId="15">
    <w:abstractNumId w:val="1"/>
  </w:num>
  <w:num w:numId="16">
    <w:abstractNumId w:val="18"/>
  </w:num>
  <w:num w:numId="17">
    <w:abstractNumId w:val="4"/>
  </w:num>
  <w:num w:numId="18">
    <w:abstractNumId w:val="11"/>
  </w:num>
  <w:num w:numId="19">
    <w:abstractNumId w:val="9"/>
  </w:num>
  <w:num w:numId="20">
    <w:abstractNumId w:val="16"/>
  </w:num>
  <w:num w:numId="21">
    <w:abstractNumId w:val="12"/>
  </w:num>
  <w:num w:numId="22">
    <w:abstractNumId w:val="22"/>
  </w:num>
  <w:num w:numId="23">
    <w:abstractNumId w:val="2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2183E"/>
    <w:rsid w:val="00021885"/>
    <w:rsid w:val="0002429B"/>
    <w:rsid w:val="000512B6"/>
    <w:rsid w:val="00065071"/>
    <w:rsid w:val="000703F3"/>
    <w:rsid w:val="000816E0"/>
    <w:rsid w:val="0008286A"/>
    <w:rsid w:val="00084A52"/>
    <w:rsid w:val="00086948"/>
    <w:rsid w:val="00092E0F"/>
    <w:rsid w:val="000C0334"/>
    <w:rsid w:val="000F0E20"/>
    <w:rsid w:val="00116F07"/>
    <w:rsid w:val="0013765F"/>
    <w:rsid w:val="001421E1"/>
    <w:rsid w:val="00151190"/>
    <w:rsid w:val="00157726"/>
    <w:rsid w:val="0016123B"/>
    <w:rsid w:val="00170EFA"/>
    <w:rsid w:val="001C3662"/>
    <w:rsid w:val="001E3086"/>
    <w:rsid w:val="001E30CE"/>
    <w:rsid w:val="001F3200"/>
    <w:rsid w:val="00203077"/>
    <w:rsid w:val="002045D2"/>
    <w:rsid w:val="00211B7E"/>
    <w:rsid w:val="0022367B"/>
    <w:rsid w:val="00257877"/>
    <w:rsid w:val="002639A0"/>
    <w:rsid w:val="00270857"/>
    <w:rsid w:val="00293A4B"/>
    <w:rsid w:val="002959B5"/>
    <w:rsid w:val="002B75A8"/>
    <w:rsid w:val="002C4834"/>
    <w:rsid w:val="00301DD1"/>
    <w:rsid w:val="00343C8C"/>
    <w:rsid w:val="0035705E"/>
    <w:rsid w:val="00366B91"/>
    <w:rsid w:val="00376F2D"/>
    <w:rsid w:val="00383B13"/>
    <w:rsid w:val="00384037"/>
    <w:rsid w:val="003900F9"/>
    <w:rsid w:val="003A5FF4"/>
    <w:rsid w:val="003B07C9"/>
    <w:rsid w:val="003B755F"/>
    <w:rsid w:val="003C5214"/>
    <w:rsid w:val="003D13AA"/>
    <w:rsid w:val="003D3AB8"/>
    <w:rsid w:val="003F676A"/>
    <w:rsid w:val="00402B3D"/>
    <w:rsid w:val="00420BD6"/>
    <w:rsid w:val="00443349"/>
    <w:rsid w:val="00452634"/>
    <w:rsid w:val="004626C1"/>
    <w:rsid w:val="00465401"/>
    <w:rsid w:val="0046556D"/>
    <w:rsid w:val="00474350"/>
    <w:rsid w:val="00483681"/>
    <w:rsid w:val="004A2EE5"/>
    <w:rsid w:val="004C1E18"/>
    <w:rsid w:val="004C6DFA"/>
    <w:rsid w:val="004D2A65"/>
    <w:rsid w:val="00521DEB"/>
    <w:rsid w:val="00526FA4"/>
    <w:rsid w:val="0056404B"/>
    <w:rsid w:val="00594C03"/>
    <w:rsid w:val="00596978"/>
    <w:rsid w:val="005C2BFA"/>
    <w:rsid w:val="005C3033"/>
    <w:rsid w:val="005D13D6"/>
    <w:rsid w:val="005E7648"/>
    <w:rsid w:val="005F3B23"/>
    <w:rsid w:val="006132A1"/>
    <w:rsid w:val="00616A7F"/>
    <w:rsid w:val="0063344A"/>
    <w:rsid w:val="0063777D"/>
    <w:rsid w:val="00646BA4"/>
    <w:rsid w:val="00661D8C"/>
    <w:rsid w:val="006A1F8F"/>
    <w:rsid w:val="006B4CDB"/>
    <w:rsid w:val="006D1750"/>
    <w:rsid w:val="006D5418"/>
    <w:rsid w:val="006D636C"/>
    <w:rsid w:val="00704884"/>
    <w:rsid w:val="00720412"/>
    <w:rsid w:val="007303CB"/>
    <w:rsid w:val="00737F21"/>
    <w:rsid w:val="007440E2"/>
    <w:rsid w:val="007533CB"/>
    <w:rsid w:val="00765027"/>
    <w:rsid w:val="00773B3C"/>
    <w:rsid w:val="007967B4"/>
    <w:rsid w:val="007B048B"/>
    <w:rsid w:val="007B2984"/>
    <w:rsid w:val="00801294"/>
    <w:rsid w:val="008045F8"/>
    <w:rsid w:val="00833E5A"/>
    <w:rsid w:val="00835AEA"/>
    <w:rsid w:val="0084161A"/>
    <w:rsid w:val="00863B27"/>
    <w:rsid w:val="00875E54"/>
    <w:rsid w:val="0088005C"/>
    <w:rsid w:val="00884BDE"/>
    <w:rsid w:val="00892DAD"/>
    <w:rsid w:val="008B1D1D"/>
    <w:rsid w:val="008B6D34"/>
    <w:rsid w:val="008D312E"/>
    <w:rsid w:val="008F1E6A"/>
    <w:rsid w:val="00904A4D"/>
    <w:rsid w:val="00917A27"/>
    <w:rsid w:val="00920D52"/>
    <w:rsid w:val="00932387"/>
    <w:rsid w:val="00945B8F"/>
    <w:rsid w:val="009656C3"/>
    <w:rsid w:val="00970053"/>
    <w:rsid w:val="00970516"/>
    <w:rsid w:val="00997B4B"/>
    <w:rsid w:val="009C41BD"/>
    <w:rsid w:val="009F10E2"/>
    <w:rsid w:val="00A1175F"/>
    <w:rsid w:val="00A22898"/>
    <w:rsid w:val="00A275A8"/>
    <w:rsid w:val="00A30D80"/>
    <w:rsid w:val="00A419D8"/>
    <w:rsid w:val="00A62609"/>
    <w:rsid w:val="00A84460"/>
    <w:rsid w:val="00A86A87"/>
    <w:rsid w:val="00AC58DD"/>
    <w:rsid w:val="00AC6DBB"/>
    <w:rsid w:val="00AE44A3"/>
    <w:rsid w:val="00AF7530"/>
    <w:rsid w:val="00B26B80"/>
    <w:rsid w:val="00B2751B"/>
    <w:rsid w:val="00B32021"/>
    <w:rsid w:val="00B320E9"/>
    <w:rsid w:val="00B335D8"/>
    <w:rsid w:val="00B75885"/>
    <w:rsid w:val="00BD7538"/>
    <w:rsid w:val="00BE71A4"/>
    <w:rsid w:val="00BF1FFD"/>
    <w:rsid w:val="00BF6CBD"/>
    <w:rsid w:val="00C0752D"/>
    <w:rsid w:val="00C16C76"/>
    <w:rsid w:val="00C42C29"/>
    <w:rsid w:val="00C46D09"/>
    <w:rsid w:val="00C8121C"/>
    <w:rsid w:val="00C82980"/>
    <w:rsid w:val="00C878B5"/>
    <w:rsid w:val="00C917EE"/>
    <w:rsid w:val="00C950FD"/>
    <w:rsid w:val="00CA1353"/>
    <w:rsid w:val="00CB18D2"/>
    <w:rsid w:val="00CC1D26"/>
    <w:rsid w:val="00CC4A7D"/>
    <w:rsid w:val="00CD44F7"/>
    <w:rsid w:val="00CD4FA9"/>
    <w:rsid w:val="00CF5426"/>
    <w:rsid w:val="00CF7292"/>
    <w:rsid w:val="00D25ADE"/>
    <w:rsid w:val="00D634F6"/>
    <w:rsid w:val="00D828DF"/>
    <w:rsid w:val="00D9294B"/>
    <w:rsid w:val="00DA03E8"/>
    <w:rsid w:val="00DB1F8F"/>
    <w:rsid w:val="00DD7CF2"/>
    <w:rsid w:val="00DE584C"/>
    <w:rsid w:val="00DE7643"/>
    <w:rsid w:val="00DF2F2C"/>
    <w:rsid w:val="00DF5EED"/>
    <w:rsid w:val="00DF7FB4"/>
    <w:rsid w:val="00E3161B"/>
    <w:rsid w:val="00E41A45"/>
    <w:rsid w:val="00E53F2F"/>
    <w:rsid w:val="00E5453A"/>
    <w:rsid w:val="00E674CA"/>
    <w:rsid w:val="00E83D81"/>
    <w:rsid w:val="00EA6801"/>
    <w:rsid w:val="00EB30DD"/>
    <w:rsid w:val="00EB3425"/>
    <w:rsid w:val="00F5260A"/>
    <w:rsid w:val="00F5401D"/>
    <w:rsid w:val="00F55EE4"/>
    <w:rsid w:val="00F778E2"/>
    <w:rsid w:val="00F9072C"/>
    <w:rsid w:val="00F974D6"/>
    <w:rsid w:val="00FC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5D0B"/>
  <w15:docId w15:val="{2CBEFFFD-20B0-4EE2-A026-3453474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customStyle="1" w:styleId="Plandokumentu">
    <w:name w:val="Plan dokumentu"/>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character" w:styleId="Hipercze">
    <w:name w:val="Hyperlink"/>
    <w:rsid w:val="0002429B"/>
    <w:rPr>
      <w:color w:val="0000FF"/>
      <w:u w:val="single"/>
    </w:rPr>
  </w:style>
  <w:style w:type="paragraph" w:styleId="Stopka">
    <w:name w:val="footer"/>
    <w:basedOn w:val="Normalny"/>
    <w:link w:val="StopkaZnak"/>
    <w:uiPriority w:val="99"/>
    <w:rsid w:val="00DF7FB4"/>
    <w:pPr>
      <w:tabs>
        <w:tab w:val="center" w:pos="4536"/>
        <w:tab w:val="right" w:pos="9072"/>
      </w:tabs>
    </w:pPr>
  </w:style>
  <w:style w:type="character" w:customStyle="1" w:styleId="StopkaZnak">
    <w:name w:val="Stopka Znak"/>
    <w:basedOn w:val="Domylnaczcionkaakapitu"/>
    <w:link w:val="Stopka"/>
    <w:uiPriority w:val="99"/>
    <w:rsid w:val="00DF7FB4"/>
  </w:style>
  <w:style w:type="paragraph" w:styleId="Akapitzlist">
    <w:name w:val="List Paragraph"/>
    <w:basedOn w:val="Normalny"/>
    <w:uiPriority w:val="34"/>
    <w:qFormat/>
    <w:rsid w:val="00AF7530"/>
    <w:pPr>
      <w:ind w:left="720"/>
      <w:contextualSpacing/>
    </w:pPr>
  </w:style>
  <w:style w:type="character" w:customStyle="1" w:styleId="Nierozpoznanawzmianka1">
    <w:name w:val="Nierozpoznana wzmianka1"/>
    <w:basedOn w:val="Domylnaczcionkaakapitu"/>
    <w:uiPriority w:val="99"/>
    <w:semiHidden/>
    <w:unhideWhenUsed/>
    <w:rsid w:val="005F3B23"/>
    <w:rPr>
      <w:color w:val="605E5C"/>
      <w:shd w:val="clear" w:color="auto" w:fill="E1DFDD"/>
    </w:rPr>
  </w:style>
  <w:style w:type="paragraph" w:styleId="Tekstprzypisukocowego">
    <w:name w:val="endnote text"/>
    <w:basedOn w:val="Normalny"/>
    <w:link w:val="TekstprzypisukocowegoZnak"/>
    <w:rsid w:val="004D2A65"/>
  </w:style>
  <w:style w:type="character" w:customStyle="1" w:styleId="TekstprzypisukocowegoZnak">
    <w:name w:val="Tekst przypisu końcowego Znak"/>
    <w:basedOn w:val="Domylnaczcionkaakapitu"/>
    <w:link w:val="Tekstprzypisukocowego"/>
    <w:rsid w:val="004D2A65"/>
  </w:style>
  <w:style w:type="character" w:styleId="Odwoanieprzypisukocowego">
    <w:name w:val="endnote reference"/>
    <w:basedOn w:val="Domylnaczcionkaakapitu"/>
    <w:rsid w:val="004D2A65"/>
    <w:rPr>
      <w:vertAlign w:val="superscript"/>
    </w:rPr>
  </w:style>
  <w:style w:type="character" w:styleId="Nierozpoznanawzmianka">
    <w:name w:val="Unresolved Mention"/>
    <w:basedOn w:val="Domylnaczcionkaakapitu"/>
    <w:uiPriority w:val="99"/>
    <w:semiHidden/>
    <w:unhideWhenUsed/>
    <w:rsid w:val="00945B8F"/>
    <w:rPr>
      <w:color w:val="605E5C"/>
      <w:shd w:val="clear" w:color="auto" w:fill="E1DFDD"/>
    </w:rPr>
  </w:style>
  <w:style w:type="paragraph" w:styleId="Tekstpodstawowy">
    <w:name w:val="Body Text"/>
    <w:basedOn w:val="Normalny"/>
    <w:link w:val="TekstpodstawowyZnak"/>
    <w:uiPriority w:val="99"/>
    <w:unhideWhenUsed/>
    <w:rsid w:val="00151190"/>
    <w:pPr>
      <w:jc w:val="both"/>
    </w:pPr>
    <w:rPr>
      <w:rFonts w:eastAsiaTheme="minorHAnsi"/>
    </w:rPr>
  </w:style>
  <w:style w:type="character" w:customStyle="1" w:styleId="TekstpodstawowyZnak">
    <w:name w:val="Tekst podstawowy Znak"/>
    <w:basedOn w:val="Domylnaczcionkaakapitu"/>
    <w:link w:val="Tekstpodstawowy"/>
    <w:uiPriority w:val="99"/>
    <w:rsid w:val="00151190"/>
    <w:rPr>
      <w:rFonts w:eastAsiaTheme="minorHAnsi"/>
    </w:rPr>
  </w:style>
  <w:style w:type="character" w:customStyle="1" w:styleId="NagwekZnak">
    <w:name w:val="Nagłówek Znak"/>
    <w:basedOn w:val="Domylnaczcionkaakapitu"/>
    <w:link w:val="Nagwek"/>
    <w:rsid w:val="00D828D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232">
      <w:bodyDiv w:val="1"/>
      <w:marLeft w:val="0"/>
      <w:marRight w:val="0"/>
      <w:marTop w:val="0"/>
      <w:marBottom w:val="0"/>
      <w:divBdr>
        <w:top w:val="none" w:sz="0" w:space="0" w:color="auto"/>
        <w:left w:val="none" w:sz="0" w:space="0" w:color="auto"/>
        <w:bottom w:val="none" w:sz="0" w:space="0" w:color="auto"/>
        <w:right w:val="none" w:sz="0" w:space="0" w:color="auto"/>
      </w:divBdr>
    </w:div>
    <w:div w:id="347757893">
      <w:bodyDiv w:val="1"/>
      <w:marLeft w:val="0"/>
      <w:marRight w:val="0"/>
      <w:marTop w:val="0"/>
      <w:marBottom w:val="0"/>
      <w:divBdr>
        <w:top w:val="none" w:sz="0" w:space="0" w:color="auto"/>
        <w:left w:val="none" w:sz="0" w:space="0" w:color="auto"/>
        <w:bottom w:val="none" w:sz="0" w:space="0" w:color="auto"/>
        <w:right w:val="none" w:sz="0" w:space="0" w:color="auto"/>
      </w:divBdr>
    </w:div>
    <w:div w:id="630206119">
      <w:bodyDiv w:val="1"/>
      <w:marLeft w:val="0"/>
      <w:marRight w:val="0"/>
      <w:marTop w:val="0"/>
      <w:marBottom w:val="0"/>
      <w:divBdr>
        <w:top w:val="none" w:sz="0" w:space="0" w:color="auto"/>
        <w:left w:val="none" w:sz="0" w:space="0" w:color="auto"/>
        <w:bottom w:val="none" w:sz="0" w:space="0" w:color="auto"/>
        <w:right w:val="none" w:sz="0" w:space="0" w:color="auto"/>
      </w:divBdr>
    </w:div>
    <w:div w:id="1487090073">
      <w:bodyDiv w:val="1"/>
      <w:marLeft w:val="0"/>
      <w:marRight w:val="0"/>
      <w:marTop w:val="0"/>
      <w:marBottom w:val="0"/>
      <w:divBdr>
        <w:top w:val="none" w:sz="0" w:space="0" w:color="auto"/>
        <w:left w:val="none" w:sz="0" w:space="0" w:color="auto"/>
        <w:bottom w:val="none" w:sz="0" w:space="0" w:color="auto"/>
        <w:right w:val="none" w:sz="0" w:space="0" w:color="auto"/>
      </w:divBdr>
    </w:div>
    <w:div w:id="14950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git@irgi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1982</Words>
  <Characters>11892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creator>Autor</dc:creator>
  <cp:lastModifiedBy>Głębocka Alicja</cp:lastModifiedBy>
  <cp:revision>8</cp:revision>
  <cp:lastPrinted>2013-11-13T09:19:00Z</cp:lastPrinted>
  <dcterms:created xsi:type="dcterms:W3CDTF">2020-11-04T15:10:00Z</dcterms:created>
  <dcterms:modified xsi:type="dcterms:W3CDTF">2021-08-31T10:19:00Z</dcterms:modified>
</cp:coreProperties>
</file>